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b/>
          <w:color w:val="000080"/>
          <w:w w:val="150"/>
          <w:sz w:val="28"/>
          <w:szCs w:val="28"/>
        </w:rPr>
      </w:pPr>
      <w:r>
        <w:rPr>
          <w:b/>
          <w:color w:val="000080"/>
          <w:w w:val="150"/>
          <w:sz w:val="28"/>
          <w:szCs w:val="28"/>
        </w:rPr>
        <w:t xml:space="preserve">BR-PV-RCO </w:t>
      </w:r>
      <w:r>
        <w:rPr>
          <w:rFonts w:hAnsi="宋体"/>
          <w:b/>
          <w:color w:val="000080"/>
          <w:w w:val="150"/>
          <w:sz w:val="28"/>
          <w:szCs w:val="28"/>
        </w:rPr>
        <w:t>反向电流过载测试系统</w:t>
      </w:r>
    </w:p>
    <w:p>
      <w:pPr>
        <w:spacing w:line="0" w:lineRule="atLeast"/>
        <w:rPr>
          <w:rStyle w:val="4"/>
          <w:b w:val="0"/>
          <w:kern w:val="0"/>
          <w:szCs w:val="21"/>
        </w:rPr>
      </w:pPr>
    </w:p>
    <w:p>
      <w:pPr>
        <w:autoSpaceDE w:val="0"/>
        <w:autoSpaceDN w:val="0"/>
        <w:adjustRightInd w:val="0"/>
        <w:spacing w:line="0" w:lineRule="atLeas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适用标准：IEC 6730-2:2016</w:t>
      </w:r>
      <w:r>
        <w:rPr>
          <w:rFonts w:ascii="微软雅黑" w:hAnsi="微软雅黑" w:eastAsia="微软雅黑"/>
          <w:szCs w:val="21"/>
        </w:rPr>
        <w:t xml:space="preserve"> (2019)</w:t>
      </w:r>
      <w:r>
        <w:rPr>
          <w:rFonts w:hint="eastAsia" w:ascii="微软雅黑" w:hAnsi="微软雅黑" w:eastAsia="微软雅黑"/>
          <w:szCs w:val="21"/>
        </w:rPr>
        <w:t xml:space="preserve"> M</w:t>
      </w:r>
      <w:r>
        <w:rPr>
          <w:rFonts w:ascii="微软雅黑" w:hAnsi="微软雅黑" w:eastAsia="微软雅黑"/>
          <w:szCs w:val="21"/>
        </w:rPr>
        <w:t>S</w:t>
      </w:r>
      <w:r>
        <w:rPr>
          <w:rFonts w:hint="eastAsia" w:ascii="微软雅黑" w:hAnsi="微软雅黑" w:eastAsia="微软雅黑"/>
          <w:szCs w:val="21"/>
        </w:rPr>
        <w:t>T 26、UL 1703-201</w:t>
      </w:r>
      <w:r>
        <w:rPr>
          <w:rFonts w:ascii="微软雅黑" w:hAnsi="微软雅黑" w:eastAsia="微软雅黑"/>
          <w:szCs w:val="21"/>
        </w:rPr>
        <w:t>8</w:t>
      </w:r>
    </w:p>
    <w:p>
      <w:pPr>
        <w:autoSpaceDE w:val="0"/>
        <w:autoSpaceDN w:val="0"/>
        <w:adjustRightInd w:val="0"/>
        <w:spacing w:line="0" w:lineRule="atLeast"/>
        <w:rPr>
          <w:rFonts w:ascii="微软雅黑" w:hAnsi="微软雅黑" w:eastAsia="微软雅黑"/>
          <w:szCs w:val="21"/>
        </w:rPr>
      </w:pPr>
    </w:p>
    <w:p>
      <w:pPr>
        <w:autoSpaceDE w:val="0"/>
        <w:autoSpaceDN w:val="0"/>
        <w:adjustRightInd w:val="0"/>
        <w:spacing w:line="0" w:lineRule="atLeas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直流恒流恒压源</w:t>
      </w:r>
      <w:r>
        <w:rPr>
          <w:rFonts w:hint="eastAsia" w:ascii="微软雅黑" w:hAnsi="微软雅黑" w:eastAsia="微软雅黑"/>
          <w:szCs w:val="21"/>
        </w:rPr>
        <w:t>：DC 80V/40A</w:t>
      </w:r>
      <w:r>
        <w:rPr>
          <w:rFonts w:ascii="微软雅黑" w:hAnsi="微软雅黑" w:eastAsia="微软雅黑"/>
          <w:szCs w:val="21"/>
        </w:rPr>
        <w:t>（测试过程中稳定性优于±2%）</w:t>
      </w:r>
    </w:p>
    <w:p>
      <w:pPr>
        <w:autoSpaceDE w:val="0"/>
        <w:autoSpaceDN w:val="0"/>
        <w:adjustRightInd w:val="0"/>
        <w:spacing w:line="0" w:lineRule="atLeast"/>
        <w:rPr>
          <w:rFonts w:ascii="微软雅黑" w:hAnsi="微软雅黑" w:eastAsia="微软雅黑"/>
          <w:color w:val="FF0000"/>
          <w:szCs w:val="21"/>
        </w:rPr>
      </w:pPr>
      <w:r>
        <w:rPr>
          <w:rFonts w:hint="eastAsia" w:ascii="微软雅黑" w:hAnsi="微软雅黑" w:eastAsia="微软雅黑"/>
          <w:color w:val="FF0000"/>
          <w:szCs w:val="21"/>
        </w:rPr>
        <w:t>#松木板：约2.6m(长)×1.5m(宽)×19.1mm(厚)（支架另计）</w:t>
      </w:r>
    </w:p>
    <w:p>
      <w:pPr>
        <w:autoSpaceDE w:val="0"/>
        <w:autoSpaceDN w:val="0"/>
        <w:adjustRightInd w:val="0"/>
        <w:spacing w:line="0" w:lineRule="atLeast"/>
        <w:rPr>
          <w:rFonts w:ascii="微软雅黑" w:hAnsi="微软雅黑" w:eastAsia="微软雅黑"/>
          <w:color w:val="FF0000"/>
          <w:szCs w:val="21"/>
        </w:rPr>
      </w:pPr>
      <w:r>
        <w:rPr>
          <w:rFonts w:hint="eastAsia" w:ascii="微软雅黑" w:hAnsi="微软雅黑" w:eastAsia="微软雅黑"/>
          <w:color w:val="FF0000"/>
          <w:szCs w:val="21"/>
        </w:rPr>
        <w:t>#绢纸：密度: 12~30g/m</w:t>
      </w:r>
      <w:r>
        <w:rPr>
          <w:rFonts w:hint="eastAsia" w:ascii="微软雅黑" w:hAnsi="微软雅黑" w:eastAsia="微软雅黑"/>
          <w:color w:val="FF0000"/>
          <w:szCs w:val="21"/>
          <w:vertAlign w:val="superscript"/>
        </w:rPr>
        <w:t>2</w:t>
      </w:r>
      <w:r>
        <w:rPr>
          <w:rFonts w:ascii="微软雅黑" w:hAnsi="微软雅黑" w:eastAsia="微软雅黑"/>
          <w:szCs w:val="21"/>
        </w:rPr>
        <w:t>（参照IEC 60695-2-10，符合ISO 4046中6.86规定）</w:t>
      </w:r>
    </w:p>
    <w:p>
      <w:pPr>
        <w:autoSpaceDE w:val="0"/>
        <w:autoSpaceDN w:val="0"/>
        <w:adjustRightInd w:val="0"/>
        <w:spacing w:line="0" w:lineRule="atLeast"/>
        <w:rPr>
          <w:rFonts w:ascii="微软雅黑" w:hAnsi="微软雅黑" w:eastAsia="微软雅黑"/>
          <w:color w:val="FF0000"/>
          <w:szCs w:val="21"/>
        </w:rPr>
      </w:pPr>
      <w:r>
        <w:rPr>
          <w:rFonts w:hint="eastAsia" w:ascii="微软雅黑" w:hAnsi="微软雅黑" w:eastAsia="微软雅黑"/>
          <w:color w:val="FF0000"/>
          <w:szCs w:val="21"/>
        </w:rPr>
        <w:t>#纱布：密度: 26~28m</w:t>
      </w:r>
      <w:r>
        <w:rPr>
          <w:rFonts w:hint="eastAsia" w:ascii="微软雅黑" w:hAnsi="微软雅黑" w:eastAsia="微软雅黑"/>
          <w:color w:val="FF0000"/>
          <w:szCs w:val="21"/>
          <w:vertAlign w:val="superscript"/>
        </w:rPr>
        <w:t>2</w:t>
      </w:r>
      <w:r>
        <w:rPr>
          <w:rFonts w:hint="eastAsia" w:ascii="微软雅黑" w:hAnsi="微软雅黑" w:eastAsia="微软雅黑"/>
          <w:color w:val="FF0000"/>
          <w:szCs w:val="21"/>
        </w:rPr>
        <w:t>/kg、织数: 32in×28in</w:t>
      </w:r>
    </w:p>
    <w:p>
      <w:pPr>
        <w:autoSpaceDE w:val="0"/>
        <w:autoSpaceDN w:val="0"/>
        <w:adjustRightInd w:val="0"/>
        <w:spacing w:line="0" w:lineRule="atLeas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附件：专用线钳1套、导线及辅助工具若干</w:t>
      </w:r>
    </w:p>
    <w:p>
      <w:pPr>
        <w:spacing w:line="0" w:lineRule="atLeast"/>
        <w:rPr>
          <w:szCs w:val="21"/>
        </w:rPr>
      </w:pPr>
    </w:p>
    <w:tbl>
      <w:tblPr>
        <w:tblStyle w:val="2"/>
        <w:tblW w:w="9782" w:type="dxa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8"/>
        <w:gridCol w:w="4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388" w:type="dxa"/>
            <w:vMerge w:val="restart"/>
            <w:vAlign w:val="center"/>
          </w:tcPr>
          <w:p>
            <w:pPr>
              <w:spacing w:line="0" w:lineRule="atLeast"/>
              <w:jc w:val="right"/>
              <w:rPr>
                <w:szCs w:val="21"/>
              </w:rPr>
            </w:pPr>
            <w:r>
              <w:rPr>
                <w:szCs w:val="21"/>
              </w:rPr>
              <w:drawing>
                <wp:inline distT="0" distB="0" distL="0" distR="0">
                  <wp:extent cx="3171190" cy="2176145"/>
                  <wp:effectExtent l="0" t="0" r="10160" b="14605"/>
                  <wp:docPr id="47" name="图片 47" descr="反向电流过载试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反向电流过载试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190" cy="217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drawing>
                <wp:inline distT="0" distB="0" distL="0" distR="0">
                  <wp:extent cx="1676400" cy="752475"/>
                  <wp:effectExtent l="0" t="0" r="0" b="9525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56" t="26879" r="9572" b="175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459" cy="760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5388" w:type="dxa"/>
            <w:vMerge w:val="continue"/>
          </w:tcPr>
          <w:p>
            <w:pPr>
              <w:spacing w:line="0" w:lineRule="atLeas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4394" w:type="dxa"/>
          </w:tcPr>
          <w:p>
            <w:pPr>
              <w:spacing w:line="0" w:lineRule="atLeas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-</w:t>
            </w:r>
            <w:r>
              <w:rPr>
                <w:rFonts w:ascii="微软雅黑" w:hAnsi="微软雅黑" w:eastAsia="微软雅黑"/>
                <w:szCs w:val="21"/>
              </w:rPr>
              <w:t xml:space="preserve"> 125×125</w:t>
            </w:r>
            <w:r>
              <w:rPr>
                <w:rFonts w:hint="eastAsia" w:ascii="微软雅黑" w:hAnsi="微软雅黑" w:eastAsia="微软雅黑"/>
                <w:szCs w:val="21"/>
              </w:rPr>
              <w:t>电池</w:t>
            </w:r>
            <w:r>
              <w:rPr>
                <w:rFonts w:ascii="微软雅黑" w:hAnsi="微软雅黑" w:eastAsia="微软雅黑"/>
                <w:szCs w:val="21"/>
              </w:rPr>
              <w:t>组件最大保护电流10A</w:t>
            </w:r>
          </w:p>
          <w:p>
            <w:pPr>
              <w:spacing w:line="0" w:lineRule="atLeast"/>
              <w:ind w:firstLine="210" w:firstLineChars="100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试验电流为13.50A</w:t>
            </w:r>
          </w:p>
          <w:p>
            <w:pPr>
              <w:spacing w:line="0" w:lineRule="atLeas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- 156×156</w:t>
            </w:r>
            <w:r>
              <w:rPr>
                <w:rFonts w:hint="eastAsia" w:ascii="微软雅黑" w:hAnsi="微软雅黑" w:eastAsia="微软雅黑"/>
                <w:szCs w:val="21"/>
              </w:rPr>
              <w:t>电池</w:t>
            </w:r>
            <w:r>
              <w:rPr>
                <w:rFonts w:ascii="微软雅黑" w:hAnsi="微软雅黑" w:eastAsia="微软雅黑"/>
                <w:szCs w:val="21"/>
              </w:rPr>
              <w:t>组件最大保护电流15A</w:t>
            </w:r>
          </w:p>
          <w:p>
            <w:pPr>
              <w:spacing w:line="0" w:lineRule="atLeast"/>
              <w:ind w:firstLine="210" w:firstLineChars="100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试验电流为20.25A</w:t>
            </w:r>
          </w:p>
          <w:p>
            <w:pPr>
              <w:spacing w:line="0" w:lineRule="atLeas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-</w:t>
            </w:r>
            <w:r>
              <w:rPr>
                <w:rFonts w:ascii="微软雅黑" w:hAnsi="微软雅黑" w:eastAsia="微软雅黑"/>
                <w:szCs w:val="21"/>
              </w:rPr>
              <w:t xml:space="preserve"> 薄膜组件最大保护电流5A</w:t>
            </w:r>
          </w:p>
          <w:p>
            <w:pPr>
              <w:spacing w:line="0" w:lineRule="atLeast"/>
              <w:ind w:firstLine="210" w:firstLineChars="100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试验电流为6.75A…</w:t>
            </w:r>
          </w:p>
          <w:p>
            <w:pPr>
              <w:spacing w:line="0" w:lineRule="atLeas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color w:val="FF0000"/>
                <w:szCs w:val="21"/>
              </w:rPr>
              <w:t xml:space="preserve">- </w:t>
            </w:r>
            <w:r>
              <w:rPr>
                <w:rFonts w:hint="eastAsia" w:ascii="微软雅黑" w:hAnsi="微软雅黑" w:eastAsia="微软雅黑"/>
                <w:color w:val="FF0000"/>
                <w:szCs w:val="21"/>
              </w:rPr>
              <w:t>166、182、210电池组件，预留40A试验</w:t>
            </w:r>
          </w:p>
        </w:tc>
      </w:tr>
    </w:tbl>
    <w:tbl>
      <w:tblPr>
        <w:tblStyle w:val="2"/>
        <w:tblpPr w:leftFromText="180" w:rightFromText="180" w:vertAnchor="text" w:horzAnchor="page" w:tblpX="1450" w:tblpY="14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2880"/>
        <w:gridCol w:w="2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324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  <w:bookmarkStart w:id="0" w:name="_GoBack"/>
            <w:bookmarkEnd w:id="0"/>
            <w:r>
              <w:rPr>
                <w:szCs w:val="21"/>
              </w:rPr>
              <w:drawing>
                <wp:inline distT="0" distB="0" distL="0" distR="0">
                  <wp:extent cx="1174750" cy="1765300"/>
                  <wp:effectExtent l="0" t="0" r="6350" b="6350"/>
                  <wp:docPr id="49" name="图片 49" descr="反向电流过载-绢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反向电流过载-绢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536" cy="1778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drawing>
                <wp:inline distT="0" distB="0" distL="0" distR="0">
                  <wp:extent cx="1492885" cy="1007110"/>
                  <wp:effectExtent l="0" t="0" r="12065" b="2540"/>
                  <wp:docPr id="50" name="图片 50" descr="单张绢纸宽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 descr="单张绢纸宽度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885" cy="100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drawing>
                <wp:inline distT="0" distB="0" distL="0" distR="0">
                  <wp:extent cx="1492885" cy="977900"/>
                  <wp:effectExtent l="0" t="0" r="12065" b="12700"/>
                  <wp:docPr id="51" name="图片 51" descr="单张绢纸长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 descr="单张绢纸长度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885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3240" w:type="dxa"/>
            <w:vMerge w:val="continue"/>
          </w:tcPr>
          <w:p>
            <w:pPr>
              <w:spacing w:line="0" w:lineRule="atLeas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5580" w:type="dxa"/>
            <w:gridSpan w:val="2"/>
          </w:tcPr>
          <w:p>
            <w:pPr>
              <w:spacing w:line="0" w:lineRule="atLeast"/>
              <w:ind w:firstLine="210" w:firstLineChars="100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ascii="微软雅黑" w:hAnsi="微软雅黑" w:eastAsia="微软雅黑"/>
                <w:b/>
                <w:bCs/>
                <w:szCs w:val="21"/>
              </w:rPr>
              <w:t>IEC 61730-</w:t>
            </w: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2:2016</w:t>
            </w:r>
            <w:r>
              <w:rPr>
                <w:rFonts w:ascii="微软雅黑" w:hAnsi="微软雅黑" w:eastAsia="微软雅黑"/>
                <w:b/>
                <w:bCs/>
                <w:szCs w:val="21"/>
              </w:rPr>
              <w:t>反向电流过载</w:t>
            </w:r>
          </w:p>
          <w:p>
            <w:pPr>
              <w:spacing w:line="0" w:lineRule="atLeast"/>
              <w:ind w:firstLine="210" w:firstLineChars="100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ascii="微软雅黑" w:hAnsi="微软雅黑" w:eastAsia="微软雅黑"/>
                <w:b/>
                <w:bCs/>
                <w:szCs w:val="21"/>
              </w:rPr>
              <w:t>绢纸要求：12~30g/m</w:t>
            </w:r>
            <w:r>
              <w:rPr>
                <w:rFonts w:ascii="微软雅黑" w:hAnsi="微软雅黑" w:eastAsia="微软雅黑"/>
                <w:b/>
                <w:bCs/>
                <w:szCs w:val="21"/>
                <w:vertAlign w:val="superscript"/>
              </w:rPr>
              <w:t>2</w:t>
            </w:r>
          </w:p>
          <w:p>
            <w:pPr>
              <w:spacing w:line="0" w:lineRule="atLeast"/>
              <w:ind w:firstLine="210" w:firstLineChars="100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 xml:space="preserve">实测：绢纸宽：255mm  绢纸长：360mm </w:t>
            </w:r>
          </w:p>
          <w:p>
            <w:pPr>
              <w:spacing w:line="0" w:lineRule="atLeast"/>
              <w:ind w:firstLine="210" w:firstLineChars="100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净重：2.5935g  比重：28.25g/m</w:t>
            </w:r>
            <w:r>
              <w:rPr>
                <w:rFonts w:ascii="微软雅黑" w:hAnsi="微软雅黑" w:eastAsia="微软雅黑"/>
                <w:szCs w:val="21"/>
                <w:vertAlign w:val="superscript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</w:rPr>
              <w:t>（另有</w:t>
            </w:r>
            <w:r>
              <w:rPr>
                <w:rFonts w:ascii="微软雅黑" w:hAnsi="微软雅黑" w:eastAsia="微软雅黑"/>
                <w:szCs w:val="21"/>
              </w:rPr>
              <w:t>17g/m</w:t>
            </w:r>
            <w:r>
              <w:rPr>
                <w:rFonts w:ascii="微软雅黑" w:hAnsi="微软雅黑" w:eastAsia="微软雅黑"/>
                <w:szCs w:val="21"/>
                <w:vertAlign w:val="superscript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</w:rPr>
              <w:t>可供）</w:t>
            </w:r>
          </w:p>
        </w:tc>
      </w:tr>
    </w:tbl>
    <w:p>
      <w:pPr>
        <w:spacing w:line="0" w:lineRule="atLeast"/>
        <w:rPr>
          <w:rFonts w:ascii="微软雅黑" w:hAnsi="微软雅黑" w:eastAsia="微软雅黑"/>
          <w:szCs w:val="21"/>
        </w:rPr>
      </w:pPr>
    </w:p>
    <w:p>
      <w:pPr>
        <w:spacing w:line="0" w:lineRule="atLeast"/>
        <w:rPr>
          <w:rFonts w:ascii="微软雅黑" w:hAnsi="微软雅黑" w:eastAsia="微软雅黑"/>
          <w:szCs w:val="21"/>
        </w:rPr>
      </w:pPr>
    </w:p>
    <w:tbl>
      <w:tblPr>
        <w:tblStyle w:val="2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7"/>
        <w:gridCol w:w="2826"/>
        <w:gridCol w:w="26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316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drawing>
                <wp:inline distT="0" distB="0" distL="0" distR="0">
                  <wp:extent cx="1180465" cy="1801495"/>
                  <wp:effectExtent l="0" t="0" r="635" b="8255"/>
                  <wp:docPr id="52" name="图片 52" descr="棉纱(W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 descr="棉纱(W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6000"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913" cy="1802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6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drawing>
                <wp:inline distT="0" distB="0" distL="0" distR="0">
                  <wp:extent cx="1516380" cy="1018540"/>
                  <wp:effectExtent l="0" t="0" r="7620" b="10160"/>
                  <wp:docPr id="53" name="图片 53" descr="棉纱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棉纱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38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6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drawing>
                <wp:inline distT="0" distB="0" distL="0" distR="0">
                  <wp:extent cx="1522095" cy="1018540"/>
                  <wp:effectExtent l="0" t="0" r="1905" b="10160"/>
                  <wp:docPr id="54" name="图片 54" descr="棉纱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 descr="棉纱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09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3167" w:type="dxa"/>
            <w:vMerge w:val="continue"/>
          </w:tcPr>
          <w:p>
            <w:pPr>
              <w:spacing w:line="0" w:lineRule="atLeas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5472" w:type="dxa"/>
            <w:gridSpan w:val="2"/>
          </w:tcPr>
          <w:p>
            <w:pPr>
              <w:spacing w:line="0" w:lineRule="atLeast"/>
              <w:ind w:firstLine="210" w:firstLineChars="100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ascii="微软雅黑" w:hAnsi="微软雅黑" w:eastAsia="微软雅黑"/>
                <w:b/>
                <w:bCs/>
                <w:szCs w:val="21"/>
              </w:rPr>
              <w:t>UL 1703-201</w:t>
            </w: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5</w:t>
            </w:r>
            <w:r>
              <w:rPr>
                <w:rFonts w:ascii="微软雅黑" w:hAnsi="微软雅黑" w:eastAsia="微软雅黑"/>
                <w:b/>
                <w:bCs/>
                <w:szCs w:val="21"/>
              </w:rPr>
              <w:t>反向电流过载</w:t>
            </w:r>
          </w:p>
          <w:p>
            <w:pPr>
              <w:spacing w:line="0" w:lineRule="atLeast"/>
              <w:ind w:firstLine="210" w:firstLineChars="100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ascii="微软雅黑" w:hAnsi="微软雅黑" w:eastAsia="微软雅黑"/>
                <w:b/>
                <w:bCs/>
                <w:szCs w:val="21"/>
              </w:rPr>
              <w:t>粗棉纱要求：26~28m</w:t>
            </w:r>
            <w:r>
              <w:rPr>
                <w:rFonts w:ascii="微软雅黑" w:hAnsi="微软雅黑" w:eastAsia="微软雅黑"/>
                <w:b/>
                <w:bCs/>
                <w:szCs w:val="21"/>
                <w:vertAlign w:val="superscript"/>
              </w:rPr>
              <w:t>2</w:t>
            </w:r>
            <w:r>
              <w:rPr>
                <w:rFonts w:ascii="微软雅黑" w:hAnsi="微软雅黑" w:eastAsia="微软雅黑"/>
                <w:b/>
                <w:bCs/>
                <w:szCs w:val="21"/>
              </w:rPr>
              <w:t>/kg</w:t>
            </w:r>
          </w:p>
          <w:p>
            <w:pPr>
              <w:spacing w:line="0" w:lineRule="atLeast"/>
              <w:ind w:firstLine="210" w:firstLineChars="100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实测：棉纱长：100mm  棉纱宽：60mm</w:t>
            </w:r>
          </w:p>
          <w:p>
            <w:pPr>
              <w:spacing w:line="0" w:lineRule="atLeast"/>
              <w:ind w:firstLine="210" w:firstLineChars="100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净重：0.2280g  比重：26.32m</w:t>
            </w:r>
            <w:r>
              <w:rPr>
                <w:rFonts w:ascii="微软雅黑" w:hAnsi="微软雅黑" w:eastAsia="微软雅黑"/>
                <w:szCs w:val="21"/>
                <w:vertAlign w:val="superscript"/>
              </w:rPr>
              <w:t>2</w:t>
            </w:r>
            <w:r>
              <w:rPr>
                <w:rFonts w:ascii="微软雅黑" w:hAnsi="微软雅黑" w:eastAsia="微软雅黑"/>
                <w:szCs w:val="21"/>
              </w:rPr>
              <w:t>/kg</w:t>
            </w:r>
          </w:p>
        </w:tc>
      </w:tr>
    </w:tbl>
    <w:p/>
    <w:sectPr>
      <w:pgSz w:w="11906" w:h="16838"/>
      <w:pgMar w:top="1440" w:right="106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9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luebold1"/>
    <w:uiPriority w:val="0"/>
    <w:rPr>
      <w:rFonts w:eastAsia="宋体"/>
      <w:b/>
      <w:bCs/>
      <w:color w:val="4087AD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小宝妈妈</cp:lastModifiedBy>
  <dcterms:modified xsi:type="dcterms:W3CDTF">2020-10-10T03:30:37Z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